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36" w:rsidRPr="007E3001" w:rsidRDefault="00BE4B36" w:rsidP="00BE4B36">
      <w:pPr>
        <w:rPr>
          <w:rFonts w:ascii="华文仿宋" w:eastAsia="华文仿宋" w:hAnsi="华文仿宋" w:hint="eastAsia"/>
          <w:sz w:val="28"/>
          <w:szCs w:val="28"/>
        </w:rPr>
      </w:pPr>
      <w:r w:rsidRPr="007E3001">
        <w:rPr>
          <w:rFonts w:ascii="华文仿宋" w:eastAsia="华文仿宋" w:hAnsi="华文仿宋" w:hint="eastAsia"/>
          <w:sz w:val="28"/>
          <w:szCs w:val="28"/>
        </w:rPr>
        <w:t>附件</w:t>
      </w:r>
      <w:r>
        <w:rPr>
          <w:rFonts w:ascii="华文仿宋" w:eastAsia="华文仿宋" w:hAnsi="华文仿宋" w:hint="eastAsia"/>
          <w:sz w:val="28"/>
          <w:szCs w:val="28"/>
        </w:rPr>
        <w:t>：</w:t>
      </w:r>
    </w:p>
    <w:p w:rsidR="00BE4B36" w:rsidRPr="007E3001" w:rsidRDefault="00BE4B36" w:rsidP="00BE4B36">
      <w:pPr>
        <w:jc w:val="center"/>
        <w:rPr>
          <w:rFonts w:ascii="华文仿宋" w:eastAsia="华文仿宋" w:hAnsi="华文仿宋" w:hint="eastAsia"/>
          <w:b/>
          <w:sz w:val="36"/>
          <w:szCs w:val="36"/>
        </w:rPr>
      </w:pPr>
      <w:r w:rsidRPr="007E3001">
        <w:rPr>
          <w:rFonts w:ascii="华文仿宋" w:eastAsia="华文仿宋" w:hAnsi="华文仿宋" w:hint="eastAsia"/>
          <w:b/>
          <w:sz w:val="36"/>
          <w:szCs w:val="36"/>
        </w:rPr>
        <w:t>201</w:t>
      </w:r>
      <w:r>
        <w:rPr>
          <w:rFonts w:ascii="华文仿宋" w:eastAsia="华文仿宋" w:hAnsi="华文仿宋" w:hint="eastAsia"/>
          <w:b/>
          <w:sz w:val="36"/>
          <w:szCs w:val="36"/>
        </w:rPr>
        <w:t>6</w:t>
      </w:r>
      <w:r w:rsidRPr="007E3001">
        <w:rPr>
          <w:rFonts w:ascii="华文仿宋" w:eastAsia="华文仿宋" w:hAnsi="华文仿宋" w:hint="eastAsia"/>
          <w:b/>
          <w:sz w:val="36"/>
          <w:szCs w:val="36"/>
        </w:rPr>
        <w:t>年南京林业大学教学成果奖评选结果</w:t>
      </w:r>
    </w:p>
    <w:p w:rsidR="00BE4B36" w:rsidRPr="00742671" w:rsidRDefault="00BE4B36" w:rsidP="00BE4B36">
      <w:pPr>
        <w:rPr>
          <w:rFonts w:ascii="华文仿宋" w:eastAsia="华文仿宋" w:hAnsi="华文仿宋" w:hint="eastAsia"/>
          <w:b/>
          <w:sz w:val="28"/>
          <w:szCs w:val="28"/>
        </w:rPr>
      </w:pPr>
      <w:r w:rsidRPr="00742671">
        <w:rPr>
          <w:rFonts w:ascii="华文仿宋" w:eastAsia="华文仿宋" w:hAnsi="华文仿宋" w:hint="eastAsia"/>
          <w:b/>
          <w:sz w:val="28"/>
          <w:szCs w:val="28"/>
        </w:rPr>
        <w:t>特等奖（</w:t>
      </w:r>
      <w:r>
        <w:rPr>
          <w:rFonts w:ascii="华文仿宋" w:eastAsia="华文仿宋" w:hAnsi="华文仿宋" w:hint="eastAsia"/>
          <w:b/>
          <w:sz w:val="28"/>
          <w:szCs w:val="28"/>
        </w:rPr>
        <w:t>8</w:t>
      </w:r>
      <w:r w:rsidRPr="00742671">
        <w:rPr>
          <w:rFonts w:ascii="华文仿宋" w:eastAsia="华文仿宋" w:hAnsi="华文仿宋" w:hint="eastAsia"/>
          <w:b/>
          <w:sz w:val="28"/>
          <w:szCs w:val="28"/>
        </w:rPr>
        <w:t>项）：</w:t>
      </w:r>
    </w:p>
    <w:tbl>
      <w:tblPr>
        <w:tblW w:w="14130"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5525"/>
        <w:gridCol w:w="5230"/>
        <w:gridCol w:w="1404"/>
        <w:gridCol w:w="1207"/>
      </w:tblGrid>
      <w:tr w:rsidR="00BE4B36" w:rsidRPr="00A60206" w:rsidTr="003B1B48">
        <w:trPr>
          <w:trHeight w:val="772"/>
          <w:jc w:val="center"/>
        </w:trPr>
        <w:tc>
          <w:tcPr>
            <w:tcW w:w="764"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sz w:val="24"/>
              </w:rPr>
            </w:pPr>
            <w:r w:rsidRPr="00A60206">
              <w:rPr>
                <w:rFonts w:ascii="仿宋_GB2312" w:eastAsia="仿宋_GB2312" w:hAnsi="宋体" w:hint="eastAsia"/>
                <w:b/>
                <w:sz w:val="24"/>
              </w:rPr>
              <w:t>序号</w:t>
            </w:r>
          </w:p>
        </w:tc>
        <w:tc>
          <w:tcPr>
            <w:tcW w:w="5525"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sz w:val="24"/>
              </w:rPr>
            </w:pPr>
            <w:r w:rsidRPr="00A60206">
              <w:rPr>
                <w:rFonts w:ascii="仿宋_GB2312" w:eastAsia="仿宋_GB2312" w:hAnsi="宋体" w:hint="eastAsia"/>
                <w:b/>
                <w:sz w:val="24"/>
              </w:rPr>
              <w:t>成果名称</w:t>
            </w:r>
          </w:p>
        </w:tc>
        <w:tc>
          <w:tcPr>
            <w:tcW w:w="5230"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sz w:val="24"/>
              </w:rPr>
            </w:pPr>
            <w:r w:rsidRPr="00A60206">
              <w:rPr>
                <w:rFonts w:ascii="仿宋_GB2312" w:eastAsia="仿宋_GB2312" w:hAnsi="宋体" w:hint="eastAsia"/>
                <w:b/>
                <w:sz w:val="24"/>
              </w:rPr>
              <w:t>主要完成人姓名</w:t>
            </w:r>
          </w:p>
        </w:tc>
        <w:tc>
          <w:tcPr>
            <w:tcW w:w="1404"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sz w:val="24"/>
              </w:rPr>
            </w:pPr>
            <w:r w:rsidRPr="00A60206">
              <w:rPr>
                <w:rFonts w:ascii="仿宋_GB2312" w:eastAsia="仿宋_GB2312" w:hAnsi="宋体" w:hint="eastAsia"/>
                <w:b/>
                <w:sz w:val="24"/>
              </w:rPr>
              <w:t>主要完成</w:t>
            </w:r>
          </w:p>
          <w:p w:rsidR="00BE4B36" w:rsidRPr="00A60206" w:rsidRDefault="00BE4B36" w:rsidP="003B1B48">
            <w:pPr>
              <w:tabs>
                <w:tab w:val="left" w:pos="4680"/>
              </w:tabs>
              <w:snapToGrid w:val="0"/>
              <w:jc w:val="center"/>
              <w:rPr>
                <w:rFonts w:ascii="仿宋_GB2312" w:eastAsia="仿宋_GB2312" w:hAnsi="宋体" w:hint="eastAsia"/>
                <w:b/>
                <w:sz w:val="24"/>
              </w:rPr>
            </w:pPr>
            <w:r w:rsidRPr="00A60206">
              <w:rPr>
                <w:rFonts w:ascii="仿宋_GB2312" w:eastAsia="仿宋_GB2312" w:hAnsi="宋体" w:hint="eastAsia"/>
                <w:b/>
                <w:sz w:val="24"/>
              </w:rPr>
              <w:t>单位</w:t>
            </w:r>
          </w:p>
        </w:tc>
        <w:tc>
          <w:tcPr>
            <w:tcW w:w="1207"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sz w:val="24"/>
              </w:rPr>
            </w:pPr>
            <w:r w:rsidRPr="00A60206">
              <w:rPr>
                <w:rFonts w:ascii="仿宋_GB2312" w:eastAsia="仿宋_GB2312" w:hAnsi="宋体" w:hint="eastAsia"/>
                <w:b/>
                <w:sz w:val="24"/>
              </w:rPr>
              <w:t>获奖等级</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1"/>
              </w:numPr>
              <w:tabs>
                <w:tab w:val="left" w:pos="4680"/>
              </w:tabs>
              <w:adjustRightInd w:val="0"/>
              <w:snapToGrid w:val="0"/>
              <w:spacing w:line="360" w:lineRule="exact"/>
              <w:jc w:val="center"/>
              <w:rPr>
                <w:rFonts w:ascii="仿宋_GB2312" w:eastAsia="仿宋_GB2312" w:hint="eastAsia"/>
                <w:szCs w:val="21"/>
              </w:rPr>
            </w:pPr>
          </w:p>
        </w:tc>
        <w:tc>
          <w:tcPr>
            <w:tcW w:w="5525"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“重融合、宽共享、强实践”的林业装备卓越工程人才培养体系的构建与实施</w:t>
            </w:r>
          </w:p>
        </w:tc>
        <w:tc>
          <w:tcPr>
            <w:tcW w:w="5230"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proofErr w:type="gramStart"/>
            <w:r w:rsidRPr="00A60206">
              <w:rPr>
                <w:rFonts w:ascii="仿宋_GB2312" w:eastAsia="仿宋_GB2312" w:hAnsi="宋体" w:hint="eastAsia"/>
                <w:szCs w:val="21"/>
              </w:rPr>
              <w:t>茹煜</w:t>
            </w:r>
            <w:proofErr w:type="gramEnd"/>
            <w:r w:rsidRPr="00A60206">
              <w:rPr>
                <w:rFonts w:ascii="仿宋_GB2312" w:eastAsia="仿宋_GB2312" w:hAnsi="宋体" w:hint="eastAsia"/>
                <w:szCs w:val="21"/>
              </w:rPr>
              <w:t>、周宏平、郑梅生、李建华、刘英、</w:t>
            </w:r>
            <w:proofErr w:type="gramStart"/>
            <w:r w:rsidRPr="00A60206">
              <w:rPr>
                <w:rFonts w:ascii="仿宋_GB2312" w:eastAsia="仿宋_GB2312" w:hint="eastAsia"/>
                <w:bCs/>
                <w:color w:val="000000"/>
                <w:szCs w:val="21"/>
              </w:rPr>
              <w:t>缑斌</w:t>
            </w:r>
            <w:proofErr w:type="gramEnd"/>
            <w:r w:rsidRPr="00A60206">
              <w:rPr>
                <w:rFonts w:ascii="仿宋_GB2312" w:eastAsia="仿宋_GB2312" w:hint="eastAsia"/>
                <w:bCs/>
                <w:color w:val="000000"/>
                <w:szCs w:val="21"/>
              </w:rPr>
              <w:t>丽、王华光、张慧春、李佳、孙青云</w:t>
            </w:r>
          </w:p>
        </w:tc>
        <w:tc>
          <w:tcPr>
            <w:tcW w:w="1404" w:type="dxa"/>
            <w:shd w:val="clear" w:color="auto" w:fill="auto"/>
            <w:vAlign w:val="center"/>
          </w:tcPr>
          <w:p w:rsidR="00BE4B36" w:rsidRPr="00A60206" w:rsidRDefault="00BE4B36" w:rsidP="003B1B48">
            <w:pPr>
              <w:tabs>
                <w:tab w:val="left" w:pos="9660"/>
              </w:tabs>
              <w:adjustRightInd w:val="0"/>
              <w:snapToGrid w:val="0"/>
              <w:jc w:val="center"/>
              <w:rPr>
                <w:rFonts w:ascii="仿宋_GB2312" w:eastAsia="仿宋_GB2312" w:hAnsi="宋体"/>
                <w:szCs w:val="21"/>
              </w:rPr>
            </w:pPr>
            <w:r w:rsidRPr="00A60206">
              <w:rPr>
                <w:rFonts w:ascii="仿宋_GB2312" w:eastAsia="仿宋_GB2312" w:hAnsi="宋体" w:hint="eastAsia"/>
                <w:szCs w:val="21"/>
              </w:rPr>
              <w:t>机电院</w:t>
            </w:r>
          </w:p>
        </w:tc>
        <w:tc>
          <w:tcPr>
            <w:tcW w:w="1207" w:type="dxa"/>
            <w:shd w:val="clear" w:color="auto" w:fill="auto"/>
            <w:vAlign w:val="center"/>
          </w:tcPr>
          <w:p w:rsidR="00BE4B36" w:rsidRPr="00A60206" w:rsidRDefault="00BE4B36" w:rsidP="003B1B48">
            <w:pPr>
              <w:tabs>
                <w:tab w:val="left" w:pos="4680"/>
              </w:tabs>
              <w:adjustRightInd w:val="0"/>
              <w:snapToGrid w:val="0"/>
              <w:jc w:val="center"/>
              <w:rPr>
                <w:rFonts w:ascii="仿宋_GB2312" w:eastAsia="仿宋_GB2312" w:hAnsi="宋体"/>
                <w:color w:val="000000"/>
                <w:szCs w:val="21"/>
              </w:rPr>
            </w:pPr>
            <w:r w:rsidRPr="00A60206">
              <w:rPr>
                <w:rFonts w:ascii="仿宋_GB2312" w:eastAsia="仿宋_GB2312" w:hAnsi="宋体" w:hint="eastAsia"/>
                <w:color w:val="000000"/>
                <w:szCs w:val="21"/>
              </w:rPr>
              <w:t>特等奖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1"/>
              </w:numPr>
              <w:tabs>
                <w:tab w:val="left" w:pos="4680"/>
              </w:tabs>
              <w:adjustRightInd w:val="0"/>
              <w:snapToGrid w:val="0"/>
              <w:spacing w:line="360" w:lineRule="exact"/>
              <w:jc w:val="center"/>
              <w:rPr>
                <w:rFonts w:ascii="仿宋_GB2312" w:eastAsia="仿宋_GB2312" w:hint="eastAsia"/>
                <w:szCs w:val="21"/>
              </w:rPr>
            </w:pPr>
          </w:p>
        </w:tc>
        <w:tc>
          <w:tcPr>
            <w:tcW w:w="5525"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《人造板工艺学》“三板合一”教材体系的建设</w:t>
            </w:r>
          </w:p>
        </w:tc>
        <w:tc>
          <w:tcPr>
            <w:tcW w:w="5230"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周定国、梅长彤、周晓燕、张洋、徐信武</w:t>
            </w:r>
          </w:p>
        </w:tc>
        <w:tc>
          <w:tcPr>
            <w:tcW w:w="1404"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材料院</w:t>
            </w:r>
          </w:p>
        </w:tc>
        <w:tc>
          <w:tcPr>
            <w:tcW w:w="1207" w:type="dxa"/>
            <w:shd w:val="clear" w:color="auto" w:fill="auto"/>
            <w:vAlign w:val="center"/>
          </w:tcPr>
          <w:p w:rsidR="00BE4B36" w:rsidRPr="00A60206" w:rsidRDefault="00BE4B36" w:rsidP="003B1B48">
            <w:pPr>
              <w:tabs>
                <w:tab w:val="left" w:pos="4680"/>
              </w:tabs>
              <w:adjustRightInd w:val="0"/>
              <w:snapToGrid w:val="0"/>
              <w:jc w:val="center"/>
              <w:rPr>
                <w:rFonts w:ascii="仿宋_GB2312" w:eastAsia="仿宋_GB2312" w:hAnsi="宋体"/>
                <w:color w:val="000000"/>
                <w:szCs w:val="21"/>
              </w:rPr>
            </w:pPr>
            <w:r w:rsidRPr="00A60206">
              <w:rPr>
                <w:rFonts w:ascii="仿宋_GB2312" w:eastAsia="仿宋_GB2312" w:hAnsi="宋体" w:hint="eastAsia"/>
                <w:color w:val="000000"/>
                <w:szCs w:val="21"/>
              </w:rPr>
              <w:t>特等奖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1"/>
              </w:numPr>
              <w:tabs>
                <w:tab w:val="left" w:pos="4680"/>
              </w:tabs>
              <w:adjustRightInd w:val="0"/>
              <w:snapToGrid w:val="0"/>
              <w:spacing w:line="360" w:lineRule="exact"/>
              <w:jc w:val="center"/>
              <w:rPr>
                <w:rFonts w:ascii="仿宋_GB2312" w:eastAsia="仿宋_GB2312" w:hint="eastAsia"/>
                <w:szCs w:val="21"/>
              </w:rPr>
            </w:pPr>
          </w:p>
        </w:tc>
        <w:tc>
          <w:tcPr>
            <w:tcW w:w="5525"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风景园林相关专业“322”课外教学活动体系构建</w:t>
            </w:r>
          </w:p>
        </w:tc>
        <w:tc>
          <w:tcPr>
            <w:tcW w:w="5230" w:type="dxa"/>
            <w:shd w:val="clear" w:color="auto" w:fill="auto"/>
            <w:vAlign w:val="center"/>
          </w:tcPr>
          <w:p w:rsidR="00BE4B36" w:rsidRPr="00A60206" w:rsidRDefault="00BE4B36" w:rsidP="003B1B48">
            <w:pPr>
              <w:adjustRightInd w:val="0"/>
              <w:snapToGrid w:val="0"/>
              <w:jc w:val="left"/>
              <w:rPr>
                <w:szCs w:val="21"/>
              </w:rPr>
            </w:pPr>
            <w:r w:rsidRPr="00A60206">
              <w:rPr>
                <w:rFonts w:ascii="仿宋_GB2312" w:eastAsia="仿宋_GB2312" w:hint="eastAsia"/>
                <w:bCs/>
                <w:color w:val="000000"/>
                <w:szCs w:val="21"/>
              </w:rPr>
              <w:t>赵兵、马平、张哲、李婕、费文君、麻婷婷、郭苏明、杨含、程云杉、张跃</w:t>
            </w:r>
          </w:p>
        </w:tc>
        <w:tc>
          <w:tcPr>
            <w:tcW w:w="1404"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园林院</w:t>
            </w:r>
          </w:p>
        </w:tc>
        <w:tc>
          <w:tcPr>
            <w:tcW w:w="1207" w:type="dxa"/>
            <w:shd w:val="clear" w:color="auto" w:fill="auto"/>
            <w:vAlign w:val="center"/>
          </w:tcPr>
          <w:p w:rsidR="00BE4B36" w:rsidRPr="00A60206" w:rsidRDefault="00BE4B36" w:rsidP="003B1B48">
            <w:pPr>
              <w:tabs>
                <w:tab w:val="left" w:pos="4680"/>
              </w:tabs>
              <w:adjustRightInd w:val="0"/>
              <w:snapToGrid w:val="0"/>
              <w:jc w:val="center"/>
              <w:rPr>
                <w:rFonts w:ascii="仿宋_GB2312" w:eastAsia="仿宋_GB2312" w:hAnsi="宋体"/>
                <w:color w:val="000000"/>
                <w:szCs w:val="21"/>
              </w:rPr>
            </w:pPr>
            <w:r w:rsidRPr="00A60206">
              <w:rPr>
                <w:rFonts w:ascii="仿宋_GB2312" w:eastAsia="仿宋_GB2312" w:hAnsi="宋体" w:hint="eastAsia"/>
                <w:color w:val="000000"/>
                <w:szCs w:val="21"/>
              </w:rPr>
              <w:t>特等奖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1"/>
              </w:numPr>
              <w:tabs>
                <w:tab w:val="left" w:pos="4680"/>
              </w:tabs>
              <w:adjustRightInd w:val="0"/>
              <w:snapToGrid w:val="0"/>
              <w:spacing w:line="360" w:lineRule="exact"/>
              <w:jc w:val="center"/>
              <w:rPr>
                <w:rFonts w:ascii="仿宋_GB2312" w:eastAsia="仿宋_GB2312" w:hint="eastAsia"/>
                <w:szCs w:val="21"/>
              </w:rPr>
            </w:pPr>
          </w:p>
        </w:tc>
        <w:tc>
          <w:tcPr>
            <w:tcW w:w="5525"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ESP课程为核心的大学英语多元课程体系建设研究与实践</w:t>
            </w:r>
          </w:p>
        </w:tc>
        <w:tc>
          <w:tcPr>
            <w:tcW w:w="5230"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肖飞、喻惠群、张鲁宁、郑长明、鲍志坤、</w:t>
            </w:r>
            <w:r w:rsidRPr="00A60206">
              <w:rPr>
                <w:rFonts w:ascii="仿宋_GB2312" w:eastAsia="仿宋_GB2312" w:hAnsi="Calibri" w:cs="仿宋_GB2312" w:hint="eastAsia"/>
                <w:szCs w:val="21"/>
              </w:rPr>
              <w:t>唐明辉、李明月、黄璐、王菲菲、汤蓉</w:t>
            </w:r>
          </w:p>
        </w:tc>
        <w:tc>
          <w:tcPr>
            <w:tcW w:w="1404"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外语院</w:t>
            </w:r>
          </w:p>
        </w:tc>
        <w:tc>
          <w:tcPr>
            <w:tcW w:w="1207" w:type="dxa"/>
            <w:shd w:val="clear" w:color="auto" w:fill="auto"/>
            <w:vAlign w:val="center"/>
          </w:tcPr>
          <w:p w:rsidR="00BE4B36" w:rsidRPr="00A60206" w:rsidRDefault="00BE4B36" w:rsidP="003B1B48">
            <w:pPr>
              <w:tabs>
                <w:tab w:val="left" w:pos="4680"/>
              </w:tabs>
              <w:adjustRightInd w:val="0"/>
              <w:snapToGrid w:val="0"/>
              <w:jc w:val="center"/>
              <w:rPr>
                <w:rFonts w:ascii="仿宋_GB2312" w:eastAsia="仿宋_GB2312" w:hAnsi="宋体"/>
                <w:color w:val="000000"/>
                <w:szCs w:val="21"/>
              </w:rPr>
            </w:pPr>
            <w:r w:rsidRPr="00A60206">
              <w:rPr>
                <w:rFonts w:ascii="仿宋_GB2312" w:eastAsia="仿宋_GB2312" w:hAnsi="宋体" w:hint="eastAsia"/>
                <w:color w:val="000000"/>
                <w:szCs w:val="21"/>
              </w:rPr>
              <w:t>特等奖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1"/>
              </w:numPr>
              <w:tabs>
                <w:tab w:val="left" w:pos="4680"/>
              </w:tabs>
              <w:adjustRightInd w:val="0"/>
              <w:snapToGrid w:val="0"/>
              <w:spacing w:line="360" w:lineRule="exact"/>
              <w:jc w:val="center"/>
              <w:rPr>
                <w:rFonts w:ascii="仿宋_GB2312" w:eastAsia="仿宋_GB2312" w:hint="eastAsia"/>
                <w:szCs w:val="21"/>
              </w:rPr>
            </w:pPr>
          </w:p>
        </w:tc>
        <w:tc>
          <w:tcPr>
            <w:tcW w:w="5525"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轻化工程卓越工程师培养模式的研究与实践</w:t>
            </w:r>
          </w:p>
        </w:tc>
        <w:tc>
          <w:tcPr>
            <w:tcW w:w="5230"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张辉、景宜、童国林、陈务平、王晨</w:t>
            </w:r>
          </w:p>
        </w:tc>
        <w:tc>
          <w:tcPr>
            <w:tcW w:w="1404"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轻工院</w:t>
            </w:r>
          </w:p>
        </w:tc>
        <w:tc>
          <w:tcPr>
            <w:tcW w:w="1207" w:type="dxa"/>
            <w:shd w:val="clear" w:color="auto" w:fill="auto"/>
            <w:vAlign w:val="center"/>
          </w:tcPr>
          <w:p w:rsidR="00BE4B36" w:rsidRPr="00A60206" w:rsidRDefault="00BE4B36" w:rsidP="003B1B48">
            <w:pPr>
              <w:tabs>
                <w:tab w:val="left" w:pos="4680"/>
              </w:tabs>
              <w:adjustRightInd w:val="0"/>
              <w:snapToGrid w:val="0"/>
              <w:spacing w:line="360" w:lineRule="exact"/>
              <w:jc w:val="center"/>
              <w:rPr>
                <w:rFonts w:ascii="仿宋_GB2312" w:eastAsia="仿宋_GB2312" w:hAnsi="宋体"/>
                <w:color w:val="000000"/>
                <w:szCs w:val="21"/>
              </w:rPr>
            </w:pPr>
            <w:r w:rsidRPr="00A60206">
              <w:rPr>
                <w:rFonts w:ascii="仿宋_GB2312" w:eastAsia="仿宋_GB2312" w:hAnsi="宋体" w:hint="eastAsia"/>
                <w:color w:val="000000"/>
                <w:szCs w:val="21"/>
              </w:rPr>
              <w:t>特等奖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1"/>
              </w:numPr>
              <w:tabs>
                <w:tab w:val="left" w:pos="4680"/>
              </w:tabs>
              <w:adjustRightInd w:val="0"/>
              <w:snapToGrid w:val="0"/>
              <w:spacing w:line="360" w:lineRule="exact"/>
              <w:jc w:val="center"/>
              <w:rPr>
                <w:rFonts w:ascii="仿宋_GB2312" w:eastAsia="仿宋_GB2312" w:hint="eastAsia"/>
                <w:szCs w:val="21"/>
              </w:rPr>
            </w:pPr>
          </w:p>
        </w:tc>
        <w:tc>
          <w:tcPr>
            <w:tcW w:w="5525"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以“七动十法”为特征的植物学和树木学课程教学改革与实践</w:t>
            </w:r>
          </w:p>
        </w:tc>
        <w:tc>
          <w:tcPr>
            <w:tcW w:w="5230"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proofErr w:type="gramStart"/>
            <w:r w:rsidRPr="00A60206">
              <w:rPr>
                <w:rFonts w:ascii="仿宋_GB2312" w:eastAsia="仿宋_GB2312" w:hAnsi="宋体" w:hint="eastAsia"/>
                <w:szCs w:val="21"/>
              </w:rPr>
              <w:t>方炎明</w:t>
            </w:r>
            <w:proofErr w:type="gramEnd"/>
            <w:r w:rsidRPr="00A60206">
              <w:rPr>
                <w:rFonts w:ascii="仿宋_GB2312" w:eastAsia="仿宋_GB2312" w:hAnsi="宋体" w:hint="eastAsia"/>
                <w:szCs w:val="21"/>
              </w:rPr>
              <w:t>、王贤荣、尹增芳、汤庚国、彭冶、</w:t>
            </w:r>
            <w:r w:rsidRPr="00A60206">
              <w:rPr>
                <w:rFonts w:ascii="仿宋_GB2312" w:eastAsia="仿宋_GB2312" w:hint="eastAsia"/>
                <w:bCs/>
                <w:szCs w:val="21"/>
              </w:rPr>
              <w:t>许晓岗</w:t>
            </w:r>
          </w:p>
        </w:tc>
        <w:tc>
          <w:tcPr>
            <w:tcW w:w="1404"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生物院</w:t>
            </w:r>
          </w:p>
        </w:tc>
        <w:tc>
          <w:tcPr>
            <w:tcW w:w="1207" w:type="dxa"/>
            <w:shd w:val="clear" w:color="auto" w:fill="auto"/>
            <w:vAlign w:val="center"/>
          </w:tcPr>
          <w:p w:rsidR="00BE4B36" w:rsidRPr="00A60206" w:rsidRDefault="00BE4B36" w:rsidP="003B1B48">
            <w:pPr>
              <w:tabs>
                <w:tab w:val="left" w:pos="4680"/>
              </w:tabs>
              <w:adjustRightInd w:val="0"/>
              <w:snapToGrid w:val="0"/>
              <w:spacing w:line="360" w:lineRule="exact"/>
              <w:jc w:val="center"/>
              <w:rPr>
                <w:rFonts w:ascii="仿宋_GB2312" w:eastAsia="仿宋_GB2312" w:hAnsi="宋体"/>
                <w:color w:val="000000"/>
                <w:szCs w:val="21"/>
              </w:rPr>
            </w:pPr>
            <w:r w:rsidRPr="00A60206">
              <w:rPr>
                <w:rFonts w:ascii="仿宋_GB2312" w:eastAsia="仿宋_GB2312" w:hAnsi="宋体" w:hint="eastAsia"/>
                <w:color w:val="000000"/>
                <w:szCs w:val="21"/>
              </w:rPr>
              <w:t>特等奖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1"/>
              </w:numPr>
              <w:tabs>
                <w:tab w:val="left" w:pos="4680"/>
              </w:tabs>
              <w:adjustRightInd w:val="0"/>
              <w:snapToGrid w:val="0"/>
              <w:spacing w:line="360" w:lineRule="exact"/>
              <w:jc w:val="center"/>
              <w:rPr>
                <w:rFonts w:ascii="仿宋_GB2312" w:eastAsia="仿宋_GB2312" w:hint="eastAsia"/>
                <w:szCs w:val="21"/>
              </w:rPr>
            </w:pPr>
          </w:p>
        </w:tc>
        <w:tc>
          <w:tcPr>
            <w:tcW w:w="5525"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基于分类培养的五维一体研究生质量提升综合改革与实践</w:t>
            </w:r>
          </w:p>
        </w:tc>
        <w:tc>
          <w:tcPr>
            <w:tcW w:w="5230"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张金池、杨平、王元纲、周坚、曾丽萍、张晓琴、宫新栋、沈文星、南军锋、苏倩、华江峰、盛江梅</w:t>
            </w:r>
          </w:p>
        </w:tc>
        <w:tc>
          <w:tcPr>
            <w:tcW w:w="1404"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研究生院</w:t>
            </w:r>
          </w:p>
        </w:tc>
        <w:tc>
          <w:tcPr>
            <w:tcW w:w="1207" w:type="dxa"/>
            <w:shd w:val="clear" w:color="auto" w:fill="auto"/>
            <w:vAlign w:val="center"/>
          </w:tcPr>
          <w:p w:rsidR="00BE4B36" w:rsidRPr="00A60206" w:rsidRDefault="00BE4B36" w:rsidP="003B1B48">
            <w:pPr>
              <w:tabs>
                <w:tab w:val="left" w:pos="4680"/>
              </w:tabs>
              <w:adjustRightInd w:val="0"/>
              <w:snapToGrid w:val="0"/>
              <w:jc w:val="center"/>
              <w:rPr>
                <w:rFonts w:ascii="仿宋_GB2312" w:eastAsia="仿宋_GB2312" w:hAnsi="宋体"/>
                <w:color w:val="000000"/>
                <w:szCs w:val="21"/>
              </w:rPr>
            </w:pPr>
            <w:r w:rsidRPr="00A60206">
              <w:rPr>
                <w:rFonts w:ascii="仿宋_GB2312" w:eastAsia="仿宋_GB2312" w:hAnsi="宋体" w:hint="eastAsia"/>
                <w:color w:val="000000"/>
                <w:szCs w:val="21"/>
              </w:rPr>
              <w:t>特等奖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1"/>
              </w:numPr>
              <w:tabs>
                <w:tab w:val="left" w:pos="4680"/>
              </w:tabs>
              <w:adjustRightInd w:val="0"/>
              <w:snapToGrid w:val="0"/>
              <w:spacing w:line="360" w:lineRule="exact"/>
              <w:jc w:val="center"/>
              <w:rPr>
                <w:rFonts w:ascii="仿宋_GB2312" w:eastAsia="仿宋_GB2312" w:hint="eastAsia"/>
                <w:szCs w:val="21"/>
              </w:rPr>
            </w:pPr>
          </w:p>
        </w:tc>
        <w:tc>
          <w:tcPr>
            <w:tcW w:w="5525"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行业高校本科人才特色发展培养体系的构建与实践</w:t>
            </w:r>
          </w:p>
        </w:tc>
        <w:tc>
          <w:tcPr>
            <w:tcW w:w="5230"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闵永军、周统建、王石发、徐信武、姜  琪、杨绍陇、周吉林、孙学江、高健、周良</w:t>
            </w:r>
          </w:p>
        </w:tc>
        <w:tc>
          <w:tcPr>
            <w:tcW w:w="1404"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教务处</w:t>
            </w:r>
          </w:p>
        </w:tc>
        <w:tc>
          <w:tcPr>
            <w:tcW w:w="1207" w:type="dxa"/>
            <w:shd w:val="clear" w:color="auto" w:fill="auto"/>
            <w:vAlign w:val="center"/>
          </w:tcPr>
          <w:p w:rsidR="00BE4B36" w:rsidRPr="00A60206" w:rsidRDefault="00BE4B36" w:rsidP="003B1B48">
            <w:pPr>
              <w:tabs>
                <w:tab w:val="left" w:pos="4680"/>
              </w:tabs>
              <w:adjustRightInd w:val="0"/>
              <w:snapToGrid w:val="0"/>
              <w:jc w:val="center"/>
              <w:rPr>
                <w:rFonts w:ascii="仿宋_GB2312" w:eastAsia="仿宋_GB2312" w:hAnsi="宋体"/>
                <w:color w:val="000000"/>
                <w:szCs w:val="21"/>
              </w:rPr>
            </w:pPr>
            <w:r w:rsidRPr="00A60206">
              <w:rPr>
                <w:rFonts w:ascii="仿宋_GB2312" w:eastAsia="仿宋_GB2312" w:hAnsi="宋体" w:hint="eastAsia"/>
                <w:color w:val="000000"/>
                <w:szCs w:val="21"/>
              </w:rPr>
              <w:t>特等奖</w:t>
            </w:r>
          </w:p>
        </w:tc>
      </w:tr>
    </w:tbl>
    <w:p w:rsidR="00BE4B36" w:rsidRDefault="00BE4B36" w:rsidP="00BE4B36">
      <w:pPr>
        <w:rPr>
          <w:rFonts w:ascii="仿宋_GB2312" w:eastAsia="仿宋_GB2312" w:hint="eastAsia"/>
          <w:szCs w:val="21"/>
        </w:rPr>
      </w:pPr>
    </w:p>
    <w:p w:rsidR="00BE4B36" w:rsidRDefault="00BE4B36" w:rsidP="00BE4B36">
      <w:pPr>
        <w:rPr>
          <w:rFonts w:ascii="仿宋_GB2312" w:eastAsia="仿宋_GB2312" w:hint="eastAsia"/>
          <w:szCs w:val="21"/>
        </w:rPr>
      </w:pPr>
    </w:p>
    <w:p w:rsidR="00BE4B36" w:rsidRDefault="00BE4B36" w:rsidP="00BE4B36">
      <w:pPr>
        <w:rPr>
          <w:rFonts w:ascii="仿宋_GB2312" w:eastAsia="仿宋_GB2312" w:hint="eastAsia"/>
          <w:szCs w:val="21"/>
        </w:rPr>
      </w:pPr>
    </w:p>
    <w:p w:rsidR="00BE4B36" w:rsidRDefault="00BE4B36" w:rsidP="00BE4B36">
      <w:pPr>
        <w:rPr>
          <w:rFonts w:ascii="仿宋_GB2312" w:eastAsia="仿宋_GB2312" w:hint="eastAsia"/>
          <w:szCs w:val="21"/>
        </w:rPr>
      </w:pPr>
    </w:p>
    <w:p w:rsidR="00BE4B36" w:rsidRDefault="00BE4B36" w:rsidP="00BE4B36">
      <w:pPr>
        <w:rPr>
          <w:rFonts w:ascii="仿宋_GB2312" w:eastAsia="仿宋_GB2312" w:hint="eastAsia"/>
          <w:szCs w:val="21"/>
        </w:rPr>
      </w:pPr>
    </w:p>
    <w:p w:rsidR="00BE4B36" w:rsidRDefault="00BE4B36" w:rsidP="00BE4B36">
      <w:pPr>
        <w:rPr>
          <w:rFonts w:ascii="仿宋_GB2312" w:eastAsia="仿宋_GB2312" w:hint="eastAsia"/>
          <w:szCs w:val="21"/>
        </w:rPr>
      </w:pPr>
    </w:p>
    <w:p w:rsidR="00BE4B36" w:rsidRDefault="00BE4B36" w:rsidP="00BE4B36">
      <w:pPr>
        <w:rPr>
          <w:rFonts w:ascii="仿宋_GB2312" w:eastAsia="仿宋_GB2312" w:hint="eastAsia"/>
          <w:szCs w:val="21"/>
        </w:rPr>
      </w:pPr>
    </w:p>
    <w:p w:rsidR="00BE4B36" w:rsidRPr="00742671" w:rsidRDefault="00BE4B36" w:rsidP="00BE4B36">
      <w:pPr>
        <w:rPr>
          <w:rFonts w:ascii="华文仿宋" w:eastAsia="华文仿宋" w:hAnsi="华文仿宋" w:hint="eastAsia"/>
          <w:b/>
          <w:sz w:val="28"/>
          <w:szCs w:val="28"/>
        </w:rPr>
      </w:pPr>
      <w:r w:rsidRPr="00742671">
        <w:rPr>
          <w:rFonts w:ascii="华文仿宋" w:eastAsia="华文仿宋" w:hAnsi="华文仿宋" w:hint="eastAsia"/>
          <w:b/>
          <w:sz w:val="28"/>
          <w:szCs w:val="28"/>
        </w:rPr>
        <w:lastRenderedPageBreak/>
        <w:t>一等奖（</w:t>
      </w:r>
      <w:r>
        <w:rPr>
          <w:rFonts w:ascii="华文仿宋" w:eastAsia="华文仿宋" w:hAnsi="华文仿宋" w:hint="eastAsia"/>
          <w:b/>
          <w:sz w:val="28"/>
          <w:szCs w:val="28"/>
        </w:rPr>
        <w:t>12</w:t>
      </w:r>
      <w:r w:rsidRPr="00742671">
        <w:rPr>
          <w:rFonts w:ascii="华文仿宋" w:eastAsia="华文仿宋" w:hAnsi="华文仿宋" w:hint="eastAsia"/>
          <w:b/>
          <w:sz w:val="28"/>
          <w:szCs w:val="28"/>
        </w:rPr>
        <w:t>项）：</w:t>
      </w:r>
    </w:p>
    <w:tbl>
      <w:tblPr>
        <w:tblW w:w="14494"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5996"/>
        <w:gridCol w:w="5082"/>
        <w:gridCol w:w="1262"/>
        <w:gridCol w:w="1390"/>
      </w:tblGrid>
      <w:tr w:rsidR="00BE4B36" w:rsidRPr="00A60206" w:rsidTr="003B1B48">
        <w:trPr>
          <w:trHeight w:val="604"/>
          <w:jc w:val="center"/>
        </w:trPr>
        <w:tc>
          <w:tcPr>
            <w:tcW w:w="764"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color w:val="000000"/>
                <w:sz w:val="24"/>
              </w:rPr>
              <w:t>序号</w:t>
            </w:r>
          </w:p>
        </w:tc>
        <w:tc>
          <w:tcPr>
            <w:tcW w:w="5996"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color w:val="000000"/>
                <w:sz w:val="24"/>
              </w:rPr>
              <w:t>成果名称</w:t>
            </w:r>
          </w:p>
        </w:tc>
        <w:tc>
          <w:tcPr>
            <w:tcW w:w="5082"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color w:val="000000"/>
                <w:sz w:val="24"/>
              </w:rPr>
              <w:t>主要完成人姓名</w:t>
            </w:r>
          </w:p>
        </w:tc>
        <w:tc>
          <w:tcPr>
            <w:tcW w:w="1262"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color w:val="000000"/>
                <w:sz w:val="24"/>
              </w:rPr>
              <w:t>主要完成单位</w:t>
            </w:r>
          </w:p>
        </w:tc>
        <w:tc>
          <w:tcPr>
            <w:tcW w:w="1390"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sz w:val="24"/>
              </w:rPr>
              <w:t>获奖等级</w:t>
            </w:r>
          </w:p>
        </w:tc>
      </w:tr>
      <w:tr w:rsidR="00BE4B36" w:rsidRPr="00A60206" w:rsidTr="003B1B48">
        <w:trPr>
          <w:trHeight w:val="617"/>
          <w:jc w:val="center"/>
        </w:trPr>
        <w:tc>
          <w:tcPr>
            <w:tcW w:w="764" w:type="dxa"/>
            <w:shd w:val="clear" w:color="auto" w:fill="auto"/>
            <w:vAlign w:val="center"/>
          </w:tcPr>
          <w:p w:rsidR="00BE4B36" w:rsidRPr="00A60206" w:rsidRDefault="00BE4B36" w:rsidP="003B1B48">
            <w:pPr>
              <w:numPr>
                <w:ilvl w:val="0"/>
                <w:numId w:val="2"/>
              </w:numPr>
              <w:tabs>
                <w:tab w:val="left" w:pos="4680"/>
              </w:tabs>
              <w:snapToGrid w:val="0"/>
              <w:jc w:val="center"/>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tabs>
                <w:tab w:val="left" w:pos="4680"/>
              </w:tabs>
              <w:adjustRightInd w:val="0"/>
              <w:snapToGrid w:val="0"/>
              <w:jc w:val="left"/>
              <w:rPr>
                <w:rFonts w:ascii="仿宋_GB2312" w:eastAsia="仿宋_GB2312" w:hAnsi="宋体"/>
                <w:szCs w:val="21"/>
              </w:rPr>
            </w:pPr>
            <w:r w:rsidRPr="00A60206">
              <w:rPr>
                <w:rFonts w:ascii="仿宋_GB2312" w:eastAsia="仿宋_GB2312" w:hAnsi="宋体" w:hint="eastAsia"/>
                <w:szCs w:val="21"/>
              </w:rPr>
              <w:t>导师引领与平台驱动全过程培养的森林保护学专业创新人才培养模式探索与实践</w:t>
            </w:r>
          </w:p>
        </w:tc>
        <w:tc>
          <w:tcPr>
            <w:tcW w:w="5082" w:type="dxa"/>
            <w:shd w:val="clear" w:color="auto" w:fill="auto"/>
            <w:vAlign w:val="center"/>
          </w:tcPr>
          <w:p w:rsidR="00BE4B36" w:rsidRPr="00A60206" w:rsidRDefault="00BE4B36" w:rsidP="003B1B48">
            <w:pPr>
              <w:snapToGrid w:val="0"/>
              <w:jc w:val="left"/>
              <w:rPr>
                <w:rFonts w:ascii="仿宋_GB2312" w:eastAsia="仿宋_GB2312"/>
                <w:bCs/>
                <w:szCs w:val="21"/>
              </w:rPr>
            </w:pPr>
            <w:r w:rsidRPr="00A60206">
              <w:rPr>
                <w:rFonts w:ascii="仿宋_GB2312" w:eastAsia="仿宋_GB2312" w:hAnsi="宋体" w:hint="eastAsia"/>
                <w:szCs w:val="21"/>
              </w:rPr>
              <w:t>叶建仁、吴小芹、</w:t>
            </w:r>
            <w:proofErr w:type="gramStart"/>
            <w:r w:rsidRPr="00A60206">
              <w:rPr>
                <w:rFonts w:ascii="仿宋_GB2312" w:eastAsia="仿宋_GB2312" w:hAnsi="宋体" w:hint="eastAsia"/>
                <w:szCs w:val="21"/>
              </w:rPr>
              <w:t>嵇</w:t>
            </w:r>
            <w:proofErr w:type="gramEnd"/>
            <w:r w:rsidRPr="00A60206">
              <w:rPr>
                <w:rFonts w:ascii="仿宋_GB2312" w:eastAsia="仿宋_GB2312" w:hAnsi="宋体" w:hint="eastAsia"/>
                <w:szCs w:val="21"/>
              </w:rPr>
              <w:t>保中、陈凤毛、郝德君、</w:t>
            </w:r>
            <w:r w:rsidRPr="00A60206">
              <w:rPr>
                <w:rFonts w:ascii="仿宋_GB2312" w:eastAsia="仿宋_GB2312" w:hint="eastAsia"/>
                <w:bCs/>
                <w:szCs w:val="21"/>
              </w:rPr>
              <w:t>韩正敏、谈家金、汤方、</w:t>
            </w:r>
            <w:proofErr w:type="gramStart"/>
            <w:r w:rsidRPr="00A60206">
              <w:rPr>
                <w:rFonts w:ascii="仿宋_GB2312" w:eastAsia="仿宋_GB2312" w:hint="eastAsia"/>
                <w:bCs/>
                <w:szCs w:val="21"/>
              </w:rPr>
              <w:t>巨云为</w:t>
            </w:r>
            <w:proofErr w:type="gramEnd"/>
            <w:r w:rsidRPr="00A60206">
              <w:rPr>
                <w:rFonts w:ascii="仿宋_GB2312" w:eastAsia="仿宋_GB2312" w:hint="eastAsia"/>
                <w:bCs/>
                <w:szCs w:val="21"/>
              </w:rPr>
              <w:t>、唐进根、黄麟、朱丽华、樊奔、赵银娟、高翠青、戴婷婷、林司曦</w:t>
            </w:r>
          </w:p>
        </w:tc>
        <w:tc>
          <w:tcPr>
            <w:tcW w:w="1262" w:type="dxa"/>
            <w:shd w:val="clear" w:color="auto" w:fill="auto"/>
            <w:vAlign w:val="center"/>
          </w:tcPr>
          <w:p w:rsidR="00BE4B36" w:rsidRPr="00A60206" w:rsidRDefault="00BE4B36" w:rsidP="003B1B48">
            <w:pPr>
              <w:tabs>
                <w:tab w:val="left" w:pos="4680"/>
              </w:tabs>
              <w:adjustRightInd w:val="0"/>
              <w:snapToGrid w:val="0"/>
              <w:jc w:val="center"/>
              <w:rPr>
                <w:rFonts w:ascii="仿宋_GB2312" w:eastAsia="仿宋_GB2312" w:hAnsi="宋体"/>
                <w:szCs w:val="21"/>
              </w:rPr>
            </w:pPr>
            <w:r w:rsidRPr="00A60206">
              <w:rPr>
                <w:rFonts w:ascii="仿宋_GB2312" w:eastAsia="仿宋_GB2312" w:hAnsi="宋体" w:hint="eastAsia"/>
                <w:szCs w:val="21"/>
              </w:rPr>
              <w:t>林学院</w:t>
            </w:r>
          </w:p>
        </w:tc>
        <w:tc>
          <w:tcPr>
            <w:tcW w:w="1390" w:type="dxa"/>
            <w:shd w:val="clear" w:color="auto" w:fill="auto"/>
            <w:vAlign w:val="center"/>
          </w:tcPr>
          <w:p w:rsidR="00BE4B36" w:rsidRPr="00A60206" w:rsidRDefault="00BE4B36" w:rsidP="003B1B48">
            <w:pPr>
              <w:snapToGrid w:val="0"/>
              <w:jc w:val="center"/>
              <w:rPr>
                <w:rFonts w:ascii="仿宋_GB2312" w:eastAsia="仿宋_GB2312" w:hint="eastAsia"/>
                <w:color w:val="000000"/>
                <w:szCs w:val="21"/>
              </w:rPr>
            </w:pPr>
            <w:r w:rsidRPr="00A60206">
              <w:rPr>
                <w:rFonts w:ascii="仿宋_GB2312" w:eastAsia="仿宋_GB2312" w:hint="eastAsia"/>
                <w:color w:val="000000"/>
                <w:szCs w:val="21"/>
              </w:rPr>
              <w:t>一等奖</w:t>
            </w:r>
          </w:p>
        </w:tc>
      </w:tr>
      <w:tr w:rsidR="00BE4B36" w:rsidRPr="00A60206" w:rsidTr="003B1B48">
        <w:trPr>
          <w:trHeight w:val="617"/>
          <w:jc w:val="center"/>
        </w:trPr>
        <w:tc>
          <w:tcPr>
            <w:tcW w:w="764" w:type="dxa"/>
            <w:shd w:val="clear" w:color="auto" w:fill="auto"/>
            <w:vAlign w:val="center"/>
          </w:tcPr>
          <w:p w:rsidR="00BE4B36" w:rsidRPr="00A60206" w:rsidRDefault="00BE4B36" w:rsidP="003B1B48">
            <w:pPr>
              <w:numPr>
                <w:ilvl w:val="0"/>
                <w:numId w:val="2"/>
              </w:numPr>
              <w:tabs>
                <w:tab w:val="left" w:pos="4680"/>
              </w:tabs>
              <w:snapToGrid w:val="0"/>
              <w:jc w:val="center"/>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tabs>
                <w:tab w:val="left" w:pos="4680"/>
              </w:tabs>
              <w:adjustRightInd w:val="0"/>
              <w:snapToGrid w:val="0"/>
              <w:jc w:val="left"/>
              <w:rPr>
                <w:rFonts w:ascii="仿宋_GB2312" w:eastAsia="仿宋_GB2312"/>
                <w:szCs w:val="21"/>
              </w:rPr>
            </w:pPr>
            <w:r w:rsidRPr="00A60206">
              <w:rPr>
                <w:rFonts w:ascii="仿宋_GB2312" w:eastAsia="仿宋_GB2312" w:hint="eastAsia"/>
                <w:szCs w:val="21"/>
              </w:rPr>
              <w:t>化工类大学生创新能力二维集约化培育模式的探索与实践</w:t>
            </w:r>
          </w:p>
        </w:tc>
        <w:tc>
          <w:tcPr>
            <w:tcW w:w="5082" w:type="dxa"/>
            <w:shd w:val="clear" w:color="auto" w:fill="auto"/>
            <w:vAlign w:val="center"/>
          </w:tcPr>
          <w:p w:rsidR="00BE4B36" w:rsidRPr="00A60206" w:rsidRDefault="00BE4B36" w:rsidP="003B1B48">
            <w:pPr>
              <w:tabs>
                <w:tab w:val="left" w:pos="4680"/>
              </w:tabs>
              <w:adjustRightInd w:val="0"/>
              <w:snapToGrid w:val="0"/>
              <w:jc w:val="left"/>
              <w:rPr>
                <w:rFonts w:ascii="仿宋_GB2312" w:eastAsia="仿宋_GB2312"/>
                <w:szCs w:val="21"/>
              </w:rPr>
            </w:pPr>
            <w:r w:rsidRPr="00A60206">
              <w:rPr>
                <w:rFonts w:ascii="仿宋_GB2312" w:eastAsia="仿宋_GB2312" w:hint="eastAsia"/>
                <w:szCs w:val="21"/>
              </w:rPr>
              <w:t>王飞、徐勇、王石发、朱新宝、顾晓利、陈慕华</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szCs w:val="21"/>
              </w:rPr>
            </w:pPr>
            <w:r w:rsidRPr="00A60206">
              <w:rPr>
                <w:rFonts w:ascii="仿宋_GB2312" w:eastAsia="仿宋_GB2312" w:hint="eastAsia"/>
                <w:szCs w:val="21"/>
              </w:rPr>
              <w:t>化工院</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7"/>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jc w:val="center"/>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“多元协同、校企深度融合”的林业院校机械类研究生培养模式的创新与实践</w:t>
            </w:r>
          </w:p>
        </w:tc>
        <w:tc>
          <w:tcPr>
            <w:tcW w:w="5082" w:type="dxa"/>
            <w:shd w:val="clear" w:color="auto" w:fill="auto"/>
            <w:vAlign w:val="center"/>
          </w:tcPr>
          <w:p w:rsidR="00BE4B36" w:rsidRPr="00A60206" w:rsidRDefault="00BE4B36" w:rsidP="003B1B48">
            <w:pPr>
              <w:adjustRightInd w:val="0"/>
              <w:snapToGrid w:val="0"/>
              <w:jc w:val="left"/>
              <w:rPr>
                <w:rFonts w:ascii="宋体" w:hAnsi="宋体" w:cs="宋体"/>
              </w:rPr>
            </w:pPr>
            <w:r w:rsidRPr="00A60206">
              <w:rPr>
                <w:rFonts w:ascii="仿宋_GB2312" w:eastAsia="仿宋_GB2312" w:hAnsi="宋体" w:hint="eastAsia"/>
                <w:szCs w:val="21"/>
              </w:rPr>
              <w:t>刘英、赵茂程、周宏平、倪晓宇、吴斌、</w:t>
            </w:r>
            <w:proofErr w:type="gramStart"/>
            <w:r w:rsidRPr="00A60206">
              <w:rPr>
                <w:rFonts w:ascii="仿宋_GB2312" w:eastAsia="仿宋_GB2312" w:hAnsi="宋体"/>
                <w:szCs w:val="21"/>
              </w:rPr>
              <w:t>茹煜</w:t>
            </w:r>
            <w:proofErr w:type="gramEnd"/>
            <w:r w:rsidRPr="00A60206">
              <w:rPr>
                <w:rFonts w:ascii="仿宋_GB2312" w:eastAsia="仿宋_GB2312" w:hAnsi="宋体"/>
                <w:szCs w:val="21"/>
              </w:rPr>
              <w:t>，曹文军</w:t>
            </w:r>
            <w:r w:rsidRPr="00A60206">
              <w:rPr>
                <w:rFonts w:ascii="仿宋_GB2312" w:eastAsia="仿宋_GB2312" w:hAnsi="宋体" w:hint="eastAsia"/>
                <w:szCs w:val="21"/>
              </w:rPr>
              <w:t>、</w:t>
            </w:r>
            <w:r w:rsidRPr="00A60206">
              <w:rPr>
                <w:rFonts w:ascii="仿宋_GB2312" w:eastAsia="仿宋_GB2312" w:hAnsi="宋体"/>
                <w:szCs w:val="21"/>
              </w:rPr>
              <w:t>马晨波</w:t>
            </w:r>
            <w:r w:rsidRPr="00A60206">
              <w:rPr>
                <w:rFonts w:ascii="仿宋_GB2312" w:eastAsia="仿宋_GB2312" w:hAnsi="宋体" w:hint="eastAsia"/>
                <w:szCs w:val="21"/>
              </w:rPr>
              <w:t>、</w:t>
            </w:r>
            <w:r w:rsidRPr="00A60206">
              <w:rPr>
                <w:rFonts w:ascii="仿宋_GB2312" w:eastAsia="仿宋_GB2312" w:hAnsi="宋体"/>
                <w:szCs w:val="21"/>
              </w:rPr>
              <w:t>许蔷</w:t>
            </w:r>
            <w:r w:rsidRPr="00A60206">
              <w:rPr>
                <w:rFonts w:ascii="仿宋_GB2312" w:eastAsia="仿宋_GB2312" w:hAnsi="宋体" w:hint="eastAsia"/>
                <w:szCs w:val="21"/>
              </w:rPr>
              <w:t>、</w:t>
            </w:r>
            <w:r w:rsidRPr="00A60206">
              <w:rPr>
                <w:rFonts w:ascii="仿宋_GB2312" w:eastAsia="仿宋_GB2312" w:hAnsi="宋体"/>
                <w:szCs w:val="21"/>
              </w:rPr>
              <w:t>何菁</w:t>
            </w:r>
            <w:r w:rsidRPr="00A60206">
              <w:rPr>
                <w:rFonts w:ascii="仿宋_GB2312" w:eastAsia="仿宋_GB2312" w:hAnsi="宋体" w:hint="eastAsia"/>
                <w:szCs w:val="21"/>
              </w:rPr>
              <w:t>、</w:t>
            </w:r>
            <w:r w:rsidRPr="00A60206">
              <w:rPr>
                <w:rFonts w:ascii="仿宋_GB2312" w:eastAsia="仿宋_GB2312" w:hAnsi="宋体"/>
                <w:szCs w:val="21"/>
              </w:rPr>
              <w:t>孙晓梅</w:t>
            </w:r>
            <w:r w:rsidRPr="00A60206">
              <w:rPr>
                <w:rFonts w:ascii="仿宋_GB2312" w:eastAsia="仿宋_GB2312" w:hAnsi="宋体" w:hint="eastAsia"/>
                <w:szCs w:val="21"/>
              </w:rPr>
              <w:t>、刘雪莲</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机电院</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7"/>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jc w:val="center"/>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基于三维集成管理理论的本科教学质量保障体系建设研究</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张智光、姚惠芳、闵永军、王石发、郭娟</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hint="eastAsia"/>
                <w:szCs w:val="21"/>
              </w:rPr>
            </w:pPr>
            <w:r w:rsidRPr="00A60206">
              <w:rPr>
                <w:rFonts w:ascii="仿宋_GB2312" w:eastAsia="仿宋_GB2312" w:hAnsi="宋体" w:hint="eastAsia"/>
                <w:szCs w:val="21"/>
              </w:rPr>
              <w:t>经管院</w:t>
            </w:r>
          </w:p>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教务处</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7"/>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jc w:val="center"/>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基于专业认证的土木类大类人才培养模式探索与研究</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黄新、杨平、李国芬、王立彬、邵光辉、荆肇乾、</w:t>
            </w:r>
            <w:proofErr w:type="gramStart"/>
            <w:r w:rsidRPr="00A60206">
              <w:rPr>
                <w:rFonts w:ascii="仿宋_GB2312" w:eastAsia="仿宋_GB2312" w:hAnsi="宋体" w:hint="eastAsia"/>
                <w:szCs w:val="21"/>
              </w:rPr>
              <w:t>端茂军</w:t>
            </w:r>
            <w:proofErr w:type="gramEnd"/>
            <w:r w:rsidRPr="00A60206">
              <w:rPr>
                <w:rFonts w:ascii="仿宋_GB2312" w:eastAsia="仿宋_GB2312" w:hAnsi="宋体" w:hint="eastAsia"/>
                <w:szCs w:val="21"/>
              </w:rPr>
              <w:t>、马欣、李海涛</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土木院</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7"/>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jc w:val="center"/>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基于“互联网+”背景下的 《音乐欣赏》公选课教学与实践探索</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夏</w:t>
            </w:r>
            <w:proofErr w:type="gramStart"/>
            <w:r w:rsidRPr="00A60206">
              <w:rPr>
                <w:rFonts w:ascii="仿宋_GB2312" w:eastAsia="仿宋_GB2312" w:hAnsi="宋体" w:hint="eastAsia"/>
                <w:szCs w:val="21"/>
              </w:rPr>
              <w:t>夏</w:t>
            </w:r>
            <w:proofErr w:type="gramEnd"/>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人文院</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7"/>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jc w:val="center"/>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依托林业物联网科研项目，探索“三构三驱”的实践课程模式</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张福全、杨绪兵、刘云飞、</w:t>
            </w:r>
            <w:proofErr w:type="gramStart"/>
            <w:r w:rsidRPr="00A60206">
              <w:rPr>
                <w:rFonts w:ascii="仿宋_GB2312" w:eastAsia="仿宋_GB2312" w:hAnsi="宋体" w:hint="eastAsia"/>
                <w:szCs w:val="21"/>
              </w:rPr>
              <w:t>业巧林</w:t>
            </w:r>
            <w:proofErr w:type="gramEnd"/>
            <w:r w:rsidRPr="00A60206">
              <w:rPr>
                <w:rFonts w:ascii="仿宋_GB2312" w:eastAsia="仿宋_GB2312" w:hAnsi="宋体" w:hint="eastAsia"/>
                <w:szCs w:val="21"/>
              </w:rPr>
              <w:t>、高德民</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信息院</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7"/>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snapToGrid w:val="0"/>
              <w:jc w:val="left"/>
              <w:rPr>
                <w:rFonts w:ascii="仿宋_GB2312" w:eastAsia="仿宋_GB2312"/>
                <w:bCs/>
                <w:szCs w:val="21"/>
              </w:rPr>
            </w:pPr>
            <w:r w:rsidRPr="00A60206">
              <w:rPr>
                <w:rFonts w:ascii="仿宋_GB2312" w:eastAsia="仿宋_GB2312" w:hint="eastAsia"/>
                <w:bCs/>
                <w:szCs w:val="21"/>
              </w:rPr>
              <w:t>基于实践型和创新型人才培养的高等数学课程体系的改革</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蒋华松、杨明辉、吕忠全、徐爱军、宋伟灵、</w:t>
            </w:r>
            <w:r w:rsidRPr="00A60206">
              <w:rPr>
                <w:rFonts w:ascii="仿宋_GB2312" w:eastAsia="仿宋_GB2312" w:hint="eastAsia"/>
                <w:bCs/>
                <w:szCs w:val="21"/>
              </w:rPr>
              <w:t>许永平、任佰林、孙建筑、陈磊、朱德刚</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理学院</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8"/>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基于校企协同创新设计平台培养高素质家居特色产品设计专业人才</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bCs/>
                <w:szCs w:val="21"/>
                <w:u w:val="single"/>
              </w:rPr>
            </w:pPr>
            <w:r w:rsidRPr="00A60206">
              <w:rPr>
                <w:rFonts w:ascii="仿宋_GB2312" w:eastAsia="仿宋_GB2312" w:hAnsi="宋体" w:hint="eastAsia"/>
                <w:szCs w:val="21"/>
              </w:rPr>
              <w:t>刘玮、郁舒兰、任新宇、赵寅、刘华、</w:t>
            </w:r>
            <w:r w:rsidRPr="00A60206">
              <w:rPr>
                <w:rFonts w:ascii="仿宋_GB2312" w:eastAsia="仿宋_GB2312" w:hint="eastAsia"/>
                <w:bCs/>
                <w:szCs w:val="21"/>
              </w:rPr>
              <w:t>刘俊哲、张荣强、金冬、王玮、李若辉、刘遵月、李晶、高娃</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家居院</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8"/>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主体间性视域下高校思想政治理论课“讨论式”教学模式构建</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薛桂波、曹顺仙、李广博、冉聃、曹昱</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proofErr w:type="gramStart"/>
            <w:r w:rsidRPr="00A60206">
              <w:rPr>
                <w:rFonts w:ascii="仿宋_GB2312" w:eastAsia="仿宋_GB2312" w:hAnsi="宋体" w:hint="eastAsia"/>
                <w:szCs w:val="21"/>
              </w:rPr>
              <w:t>马院</w:t>
            </w:r>
            <w:proofErr w:type="gramEnd"/>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8"/>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大力实施“四四六一”工程，</w:t>
            </w:r>
            <w:proofErr w:type="gramStart"/>
            <w:r w:rsidRPr="00A60206">
              <w:rPr>
                <w:rFonts w:ascii="仿宋_GB2312" w:eastAsia="仿宋_GB2312" w:hAnsi="宋体" w:hint="eastAsia"/>
                <w:szCs w:val="21"/>
              </w:rPr>
              <w:t>践行</w:t>
            </w:r>
            <w:proofErr w:type="gramEnd"/>
            <w:r w:rsidRPr="00A60206">
              <w:rPr>
                <w:rFonts w:ascii="仿宋_GB2312" w:eastAsia="仿宋_GB2312" w:hAnsi="宋体" w:hint="eastAsia"/>
                <w:szCs w:val="21"/>
              </w:rPr>
              <w:t>“三成”办学理念</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魏勇、施建兵、王万江、杨祖平、</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南方院</w:t>
            </w:r>
          </w:p>
        </w:tc>
        <w:tc>
          <w:tcPr>
            <w:tcW w:w="1390" w:type="dxa"/>
            <w:shd w:val="clear" w:color="auto" w:fill="auto"/>
            <w:vAlign w:val="center"/>
          </w:tcPr>
          <w:p w:rsidR="00BE4B36" w:rsidRDefault="00BE4B36" w:rsidP="003B1B48">
            <w:pPr>
              <w:jc w:val="center"/>
            </w:pPr>
            <w:r w:rsidRPr="00A60206">
              <w:rPr>
                <w:rFonts w:ascii="仿宋_GB2312" w:eastAsia="仿宋_GB2312" w:hint="eastAsia"/>
                <w:color w:val="000000"/>
                <w:szCs w:val="21"/>
              </w:rPr>
              <w:t>一等奖</w:t>
            </w:r>
          </w:p>
        </w:tc>
      </w:tr>
      <w:tr w:rsidR="00BE4B36" w:rsidRPr="00A60206" w:rsidTr="003B1B48">
        <w:trPr>
          <w:trHeight w:val="618"/>
          <w:jc w:val="center"/>
        </w:trPr>
        <w:tc>
          <w:tcPr>
            <w:tcW w:w="764" w:type="dxa"/>
            <w:shd w:val="clear" w:color="auto" w:fill="auto"/>
            <w:vAlign w:val="center"/>
          </w:tcPr>
          <w:p w:rsidR="00BE4B36" w:rsidRPr="00A60206" w:rsidRDefault="00BE4B36" w:rsidP="003B1B48">
            <w:pPr>
              <w:numPr>
                <w:ilvl w:val="0"/>
                <w:numId w:val="2"/>
              </w:numPr>
              <w:tabs>
                <w:tab w:val="left" w:pos="9660"/>
              </w:tabs>
              <w:snapToGrid w:val="0"/>
              <w:rPr>
                <w:rFonts w:ascii="仿宋_GB2312" w:eastAsia="仿宋_GB2312" w:hint="eastAsia"/>
                <w:color w:val="000000"/>
                <w:szCs w:val="21"/>
              </w:rPr>
            </w:pPr>
          </w:p>
        </w:tc>
        <w:tc>
          <w:tcPr>
            <w:tcW w:w="5996"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以学生发展为本的学业促进体系建设</w:t>
            </w:r>
          </w:p>
        </w:tc>
        <w:tc>
          <w:tcPr>
            <w:tcW w:w="508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高捍东、余蜀宜、闵永军、郭娟、许子乾、姜琪、何兴芳、李燕萍、周爱花</w:t>
            </w:r>
          </w:p>
        </w:tc>
        <w:tc>
          <w:tcPr>
            <w:tcW w:w="1262"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教务处</w:t>
            </w:r>
          </w:p>
        </w:tc>
        <w:tc>
          <w:tcPr>
            <w:tcW w:w="1390" w:type="dxa"/>
            <w:shd w:val="clear" w:color="auto" w:fill="auto"/>
            <w:vAlign w:val="center"/>
          </w:tcPr>
          <w:p w:rsidR="00BE4B36" w:rsidRPr="00A60206" w:rsidRDefault="00BE4B36" w:rsidP="003B1B48">
            <w:pPr>
              <w:jc w:val="center"/>
              <w:rPr>
                <w:rFonts w:ascii="仿宋_GB2312" w:eastAsia="仿宋_GB2312" w:hint="eastAsia"/>
                <w:color w:val="000000"/>
                <w:szCs w:val="21"/>
              </w:rPr>
            </w:pPr>
            <w:r w:rsidRPr="00A60206">
              <w:rPr>
                <w:rFonts w:ascii="仿宋_GB2312" w:eastAsia="仿宋_GB2312" w:hint="eastAsia"/>
                <w:color w:val="000000"/>
                <w:szCs w:val="21"/>
              </w:rPr>
              <w:t>一等奖</w:t>
            </w:r>
          </w:p>
        </w:tc>
      </w:tr>
    </w:tbl>
    <w:p w:rsidR="00BE4B36" w:rsidRPr="00742671" w:rsidRDefault="00BE4B36" w:rsidP="00BE4B36">
      <w:pPr>
        <w:rPr>
          <w:rFonts w:ascii="华文仿宋" w:eastAsia="华文仿宋" w:hAnsi="华文仿宋" w:hint="eastAsia"/>
          <w:b/>
          <w:sz w:val="28"/>
          <w:szCs w:val="28"/>
        </w:rPr>
      </w:pPr>
      <w:r w:rsidRPr="00742671">
        <w:rPr>
          <w:rFonts w:ascii="华文仿宋" w:eastAsia="华文仿宋" w:hAnsi="华文仿宋" w:hint="eastAsia"/>
          <w:b/>
          <w:sz w:val="28"/>
          <w:szCs w:val="28"/>
        </w:rPr>
        <w:lastRenderedPageBreak/>
        <w:t>二等奖</w:t>
      </w:r>
      <w:r>
        <w:rPr>
          <w:rFonts w:ascii="华文仿宋" w:eastAsia="华文仿宋" w:hAnsi="华文仿宋" w:hint="eastAsia"/>
          <w:b/>
          <w:sz w:val="28"/>
          <w:szCs w:val="28"/>
        </w:rPr>
        <w:t>（16项）</w:t>
      </w:r>
      <w:r w:rsidRPr="00742671">
        <w:rPr>
          <w:rFonts w:ascii="华文仿宋" w:eastAsia="华文仿宋" w:hAnsi="华文仿宋" w:hint="eastAsia"/>
          <w:b/>
          <w:sz w:val="28"/>
          <w:szCs w:val="28"/>
        </w:rPr>
        <w:t>：</w:t>
      </w:r>
    </w:p>
    <w:tbl>
      <w:tblPr>
        <w:tblW w:w="1458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5879"/>
        <w:gridCol w:w="5132"/>
        <w:gridCol w:w="1337"/>
        <w:gridCol w:w="1474"/>
      </w:tblGrid>
      <w:tr w:rsidR="00BE4B36" w:rsidRPr="00A60206" w:rsidTr="003B1B48">
        <w:trPr>
          <w:trHeight w:val="604"/>
          <w:jc w:val="center"/>
        </w:trPr>
        <w:tc>
          <w:tcPr>
            <w:tcW w:w="764"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color w:val="000000"/>
                <w:sz w:val="24"/>
              </w:rPr>
              <w:t>序号</w:t>
            </w:r>
          </w:p>
        </w:tc>
        <w:tc>
          <w:tcPr>
            <w:tcW w:w="5879"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color w:val="000000"/>
                <w:sz w:val="24"/>
              </w:rPr>
              <w:t>成果名称</w:t>
            </w:r>
          </w:p>
        </w:tc>
        <w:tc>
          <w:tcPr>
            <w:tcW w:w="5132"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color w:val="000000"/>
                <w:sz w:val="24"/>
              </w:rPr>
              <w:t>主要完成人姓名</w:t>
            </w:r>
          </w:p>
        </w:tc>
        <w:tc>
          <w:tcPr>
            <w:tcW w:w="1337"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color w:val="000000"/>
                <w:sz w:val="24"/>
              </w:rPr>
              <w:t>主要完成单位</w:t>
            </w:r>
          </w:p>
        </w:tc>
        <w:tc>
          <w:tcPr>
            <w:tcW w:w="1474" w:type="dxa"/>
            <w:shd w:val="clear" w:color="auto" w:fill="auto"/>
            <w:vAlign w:val="center"/>
          </w:tcPr>
          <w:p w:rsidR="00BE4B36" w:rsidRPr="00A60206" w:rsidRDefault="00BE4B36" w:rsidP="003B1B48">
            <w:pPr>
              <w:tabs>
                <w:tab w:val="left" w:pos="4680"/>
              </w:tabs>
              <w:snapToGrid w:val="0"/>
              <w:jc w:val="center"/>
              <w:rPr>
                <w:rFonts w:ascii="仿宋_GB2312" w:eastAsia="仿宋_GB2312" w:hAnsi="宋体" w:hint="eastAsia"/>
                <w:b/>
                <w:color w:val="000000"/>
                <w:sz w:val="24"/>
              </w:rPr>
            </w:pPr>
            <w:r w:rsidRPr="00A60206">
              <w:rPr>
                <w:rFonts w:ascii="仿宋_GB2312" w:eastAsia="仿宋_GB2312" w:hAnsi="宋体" w:hint="eastAsia"/>
                <w:b/>
                <w:sz w:val="24"/>
              </w:rPr>
              <w:t>获奖等级</w:t>
            </w:r>
          </w:p>
        </w:tc>
      </w:tr>
      <w:tr w:rsidR="00BE4B36" w:rsidRPr="00A60206" w:rsidTr="003B1B48">
        <w:trPr>
          <w:trHeight w:val="429"/>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多元教学模式下的本科教学改革与实践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徐长妍、徐丽、李大纲、朱南峰、徐朝阳、</w:t>
            </w:r>
            <w:r w:rsidRPr="00A60206">
              <w:rPr>
                <w:rFonts w:ascii="仿宋_GB2312" w:eastAsia="仿宋_GB2312" w:hint="eastAsia"/>
                <w:bCs/>
                <w:szCs w:val="21"/>
              </w:rPr>
              <w:t>李万兆、邓巧云、王海莹、陈楚楚</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材料院</w:t>
            </w:r>
          </w:p>
        </w:tc>
        <w:tc>
          <w:tcPr>
            <w:tcW w:w="1474" w:type="dxa"/>
            <w:shd w:val="clear" w:color="auto" w:fill="auto"/>
            <w:vAlign w:val="center"/>
          </w:tcPr>
          <w:p w:rsidR="00BE4B36" w:rsidRPr="00A60206" w:rsidRDefault="00BE4B36" w:rsidP="003B1B48">
            <w:pPr>
              <w:snapToGrid w:val="0"/>
              <w:jc w:val="center"/>
              <w:rPr>
                <w:rFonts w:ascii="仿宋_GB2312" w:eastAsia="仿宋_GB2312" w:hint="eastAsia"/>
                <w:color w:val="000000"/>
                <w:szCs w:val="21"/>
              </w:rPr>
            </w:pPr>
            <w:r w:rsidRPr="00A60206">
              <w:rPr>
                <w:rFonts w:ascii="仿宋_GB2312" w:eastAsia="仿宋_GB2312" w:hAnsi="宋体" w:hint="eastAsia"/>
                <w:color w:val="000000"/>
                <w:szCs w:val="21"/>
              </w:rPr>
              <w:t>二等奖</w:t>
            </w:r>
          </w:p>
        </w:tc>
      </w:tr>
      <w:tr w:rsidR="00BE4B36" w:rsidRPr="00A60206" w:rsidTr="003B1B48">
        <w:trPr>
          <w:trHeight w:val="309"/>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“一核双驱 多维协同”复合应用型传媒人才实践教学改革与创新</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王全权、卫欣、陈相雨、熊仁国</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人文院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基于“四级三能”学科竞赛的创新人才培养模式探索与实践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蒋安纳、韦素云、刘晓峰、张黎宁、朱正礼</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信息院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467"/>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“生态英语视听说”课程教学的创新与实践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张弛</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外语院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基于“四轮驱动法”</w:t>
            </w:r>
            <w:r w:rsidRPr="00A60206">
              <w:rPr>
                <w:rFonts w:ascii="仿宋_GB2312" w:eastAsia="仿宋_GB2312" w:hAnsi="宋体" w:hint="eastAsia"/>
                <w:szCs w:val="21"/>
              </w:rPr>
              <w:t> </w:t>
            </w:r>
            <w:r w:rsidRPr="00A60206">
              <w:rPr>
                <w:rFonts w:ascii="仿宋_GB2312" w:eastAsia="仿宋_GB2312" w:hAnsi="宋体" w:hint="eastAsia"/>
                <w:szCs w:val="21"/>
              </w:rPr>
              <w:t>的设计艺术学实践教学新体系构建</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管雪松、丁山、祝遵凌、徐雷、田晓冬、梁晶、狄文和</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艺术院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基于价值</w:t>
            </w:r>
            <w:proofErr w:type="gramStart"/>
            <w:r w:rsidRPr="00A60206">
              <w:rPr>
                <w:rFonts w:ascii="仿宋_GB2312" w:eastAsia="仿宋_GB2312" w:hAnsi="宋体" w:hint="eastAsia"/>
                <w:szCs w:val="21"/>
              </w:rPr>
              <w:t>链理论</w:t>
            </w:r>
            <w:proofErr w:type="gramEnd"/>
            <w:r w:rsidRPr="00A60206">
              <w:rPr>
                <w:rFonts w:ascii="仿宋_GB2312" w:eastAsia="仿宋_GB2312" w:hAnsi="宋体" w:hint="eastAsia"/>
                <w:szCs w:val="21"/>
              </w:rPr>
              <w:t>的本科毕业设计（论文）全过程管理体系构建研究</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韩宝睿、马健霄、孙宁、张真、林丽、</w:t>
            </w:r>
            <w:r w:rsidRPr="00A60206">
              <w:rPr>
                <w:rFonts w:ascii="仿宋_GB2312" w:eastAsia="仿宋_GB2312" w:hint="eastAsia"/>
                <w:bCs/>
                <w:szCs w:val="21"/>
              </w:rPr>
              <w:t>左付山、吴君华、李爱、汤勇</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交通院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363"/>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以问题为导向的“思政课”专题式教学体系建构与实践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曹顺仙、刘海龙、薛桂波、郭辉、李广博</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proofErr w:type="gramStart"/>
            <w:r w:rsidRPr="00A60206">
              <w:rPr>
                <w:rFonts w:ascii="仿宋_GB2312" w:eastAsia="仿宋_GB2312" w:hAnsi="宋体" w:hint="eastAsia"/>
                <w:szCs w:val="21"/>
              </w:rPr>
              <w:t>马院</w:t>
            </w:r>
            <w:proofErr w:type="gramEnd"/>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371"/>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《桥梁加固技术》课程建设与实践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魏洋、</w:t>
            </w:r>
            <w:proofErr w:type="gramStart"/>
            <w:r w:rsidRPr="00A60206">
              <w:rPr>
                <w:rFonts w:ascii="仿宋_GB2312" w:eastAsia="仿宋_GB2312" w:hAnsi="宋体" w:hint="eastAsia"/>
                <w:szCs w:val="21"/>
              </w:rPr>
              <w:t>端茂军</w:t>
            </w:r>
            <w:proofErr w:type="gramEnd"/>
            <w:r w:rsidRPr="00A60206">
              <w:rPr>
                <w:rFonts w:ascii="仿宋_GB2312" w:eastAsia="仿宋_GB2312" w:hAnsi="宋体" w:hint="eastAsia"/>
                <w:szCs w:val="21"/>
              </w:rPr>
              <w:t>、朱华平、李国芬、王立彬、黄新</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土木院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393"/>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基础日语中的汉字词汇教育</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何宝年、汪然、郑岚、黄博</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外语院</w:t>
            </w:r>
          </w:p>
        </w:tc>
        <w:tc>
          <w:tcPr>
            <w:tcW w:w="1474" w:type="dxa"/>
            <w:shd w:val="clear" w:color="auto" w:fill="auto"/>
            <w:vAlign w:val="center"/>
          </w:tcPr>
          <w:p w:rsidR="00BE4B36" w:rsidRDefault="00BE4B36" w:rsidP="003B1B48">
            <w:pPr>
              <w:snapToGrid w:val="0"/>
              <w:jc w:val="center"/>
            </w:pPr>
            <w:r w:rsidRPr="00A60206">
              <w:rPr>
                <w:rFonts w:ascii="仿宋_GB2312" w:eastAsia="仿宋_GB2312" w:hAnsi="宋体" w:hint="eastAsia"/>
                <w:color w:val="000000"/>
                <w:szCs w:val="21"/>
              </w:rPr>
              <w:t>二等奖</w:t>
            </w:r>
          </w:p>
        </w:tc>
      </w:tr>
      <w:tr w:rsidR="00BE4B36" w:rsidRPr="00A60206" w:rsidTr="003B1B48">
        <w:trPr>
          <w:trHeight w:val="545"/>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“项目+工作室”应用与研究相融合的硕士培养模式构建与实践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陈于书</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家居院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388"/>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“印刷工程概论”精品课程建设与实践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王琪、胡健安、谢德红</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轻工院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388"/>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林业高校中食品专业本科生创新意识培养与特色途径实践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李婷婷、吴彩娥、苏二正、王佳宏</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轻工院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388"/>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融入创新思维训练的汽车构造实习教学改革</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proofErr w:type="gramStart"/>
            <w:r w:rsidRPr="00A60206">
              <w:rPr>
                <w:rFonts w:ascii="仿宋_GB2312" w:eastAsia="仿宋_GB2312" w:hAnsi="宋体" w:hint="eastAsia"/>
                <w:szCs w:val="21"/>
              </w:rPr>
              <w:t>郑燕萍</w:t>
            </w:r>
            <w:proofErr w:type="gramEnd"/>
            <w:r w:rsidRPr="00A60206">
              <w:rPr>
                <w:rFonts w:ascii="仿宋_GB2312" w:eastAsia="仿宋_GB2312" w:hAnsi="宋体" w:hint="eastAsia"/>
                <w:szCs w:val="21"/>
              </w:rPr>
              <w:t>、万茂松、佘亚楠、解梅</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交通院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388"/>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行动导向式教学法在生态学相关课程教学过程中的应用</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葛之葳</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生物院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388"/>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以健康为核心，以文化为内涵的时尚排舞教学研究与实践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宋红莲</w:t>
            </w:r>
            <w:r>
              <w:rPr>
                <w:rFonts w:ascii="仿宋_GB2312" w:eastAsia="仿宋_GB2312" w:hAnsi="宋体" w:hint="eastAsia"/>
                <w:szCs w:val="21"/>
              </w:rPr>
              <w:t>、万益、赵卓然、赵越</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体育部</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r w:rsidR="00BE4B36" w:rsidRPr="00A60206" w:rsidTr="003B1B48">
        <w:trPr>
          <w:trHeight w:val="568"/>
          <w:jc w:val="center"/>
        </w:trPr>
        <w:tc>
          <w:tcPr>
            <w:tcW w:w="764" w:type="dxa"/>
            <w:shd w:val="clear" w:color="auto" w:fill="auto"/>
            <w:vAlign w:val="center"/>
          </w:tcPr>
          <w:p w:rsidR="00BE4B36" w:rsidRPr="00A60206" w:rsidRDefault="00BE4B36" w:rsidP="003B1B48">
            <w:pPr>
              <w:numPr>
                <w:ilvl w:val="0"/>
                <w:numId w:val="3"/>
              </w:numPr>
              <w:tabs>
                <w:tab w:val="left" w:pos="4680"/>
              </w:tabs>
              <w:snapToGrid w:val="0"/>
              <w:rPr>
                <w:rFonts w:ascii="仿宋_GB2312" w:eastAsia="仿宋_GB2312" w:hint="eastAsia"/>
                <w:color w:val="000000"/>
                <w:szCs w:val="21"/>
              </w:rPr>
            </w:pPr>
          </w:p>
        </w:tc>
        <w:tc>
          <w:tcPr>
            <w:tcW w:w="5879"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心理咨询实务课程的教学改革与实践</w:t>
            </w:r>
          </w:p>
        </w:tc>
        <w:tc>
          <w:tcPr>
            <w:tcW w:w="5132" w:type="dxa"/>
            <w:shd w:val="clear" w:color="auto" w:fill="auto"/>
            <w:vAlign w:val="center"/>
          </w:tcPr>
          <w:p w:rsidR="00BE4B36" w:rsidRPr="00A60206" w:rsidRDefault="00BE4B36" w:rsidP="003B1B48">
            <w:pPr>
              <w:adjustRightInd w:val="0"/>
              <w:snapToGrid w:val="0"/>
              <w:jc w:val="left"/>
              <w:rPr>
                <w:rFonts w:ascii="仿宋_GB2312" w:eastAsia="仿宋_GB2312" w:hAnsi="宋体"/>
                <w:szCs w:val="21"/>
              </w:rPr>
            </w:pPr>
            <w:r w:rsidRPr="00A60206">
              <w:rPr>
                <w:rFonts w:ascii="仿宋_GB2312" w:eastAsia="仿宋_GB2312" w:hAnsi="宋体" w:hint="eastAsia"/>
                <w:szCs w:val="21"/>
              </w:rPr>
              <w:t>姜婷娜</w:t>
            </w:r>
          </w:p>
        </w:tc>
        <w:tc>
          <w:tcPr>
            <w:tcW w:w="1337" w:type="dxa"/>
            <w:shd w:val="clear" w:color="auto" w:fill="auto"/>
            <w:vAlign w:val="center"/>
          </w:tcPr>
          <w:p w:rsidR="00BE4B36" w:rsidRPr="00A60206" w:rsidRDefault="00BE4B36" w:rsidP="003B1B48">
            <w:pPr>
              <w:adjustRightInd w:val="0"/>
              <w:snapToGrid w:val="0"/>
              <w:jc w:val="center"/>
              <w:rPr>
                <w:rFonts w:ascii="仿宋_GB2312" w:eastAsia="仿宋_GB2312" w:hAnsi="宋体"/>
                <w:szCs w:val="21"/>
              </w:rPr>
            </w:pPr>
            <w:r w:rsidRPr="00A60206">
              <w:rPr>
                <w:rFonts w:ascii="仿宋_GB2312" w:eastAsia="仿宋_GB2312" w:hAnsi="宋体" w:hint="eastAsia"/>
                <w:szCs w:val="21"/>
              </w:rPr>
              <w:t>人文院</w:t>
            </w:r>
          </w:p>
        </w:tc>
        <w:tc>
          <w:tcPr>
            <w:tcW w:w="1474" w:type="dxa"/>
            <w:shd w:val="clear" w:color="auto" w:fill="auto"/>
            <w:vAlign w:val="center"/>
          </w:tcPr>
          <w:p w:rsidR="00BE4B36" w:rsidRDefault="00BE4B36" w:rsidP="003B1B48">
            <w:pPr>
              <w:jc w:val="center"/>
            </w:pPr>
            <w:r w:rsidRPr="00A60206">
              <w:rPr>
                <w:rFonts w:ascii="仿宋_GB2312" w:eastAsia="仿宋_GB2312" w:hAnsi="宋体" w:hint="eastAsia"/>
                <w:color w:val="000000"/>
                <w:szCs w:val="21"/>
              </w:rPr>
              <w:t>二等奖</w:t>
            </w:r>
          </w:p>
        </w:tc>
      </w:tr>
    </w:tbl>
    <w:p w:rsidR="00BE4B36" w:rsidRPr="00980296" w:rsidRDefault="00BE4B36" w:rsidP="00BE4B36">
      <w:pPr>
        <w:rPr>
          <w:rFonts w:ascii="仿宋_GB2312" w:eastAsia="仿宋_GB2312" w:hAnsi="宋体" w:hint="eastAsia"/>
          <w:sz w:val="28"/>
          <w:szCs w:val="28"/>
        </w:rPr>
      </w:pPr>
    </w:p>
    <w:p w:rsidR="00FA79DC" w:rsidRDefault="00FA79DC"/>
    <w:sectPr w:rsidR="00FA79DC" w:rsidSect="00A60206">
      <w:pgSz w:w="16838" w:h="11906" w:orient="landscape"/>
      <w:pgMar w:top="1276" w:right="1440" w:bottom="1134" w:left="140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144F4"/>
    <w:multiLevelType w:val="hybridMultilevel"/>
    <w:tmpl w:val="2278BDE8"/>
    <w:lvl w:ilvl="0" w:tplc="13BA3A8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F042F9E"/>
    <w:multiLevelType w:val="hybridMultilevel"/>
    <w:tmpl w:val="DFE4B060"/>
    <w:lvl w:ilvl="0" w:tplc="13BA3A8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8207B01"/>
    <w:multiLevelType w:val="hybridMultilevel"/>
    <w:tmpl w:val="6D6670F6"/>
    <w:lvl w:ilvl="0" w:tplc="13BA3A8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4B36"/>
    <w:rsid w:val="00BE4B36"/>
    <w:rsid w:val="00FA7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autoRedefine/>
    <w:rsid w:val="00BE4B36"/>
    <w:pPr>
      <w:tabs>
        <w:tab w:val="num" w:pos="425"/>
      </w:tabs>
      <w:ind w:left="425" w:hanging="425"/>
    </w:pPr>
    <w:rPr>
      <w:rFonts w:eastAsia="仿宋_GB2312"/>
      <w:kern w:val="24"/>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%E8%91%9B%E6%B5%B7</dc:creator>
  <cp:lastModifiedBy>%E8%91%9B%E6%B5%B7</cp:lastModifiedBy>
  <cp:revision>1</cp:revision>
  <dcterms:created xsi:type="dcterms:W3CDTF">2016-12-27T03:24:00Z</dcterms:created>
  <dcterms:modified xsi:type="dcterms:W3CDTF">2016-12-27T03:27:00Z</dcterms:modified>
</cp:coreProperties>
</file>